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16A08C" w14:textId="2E110312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2-D Base Level Engineering </w:t>
      </w:r>
    </w:p>
    <w:p w14:paraId="0B75E976" w14:textId="58957782" w:rsidR="008F06AE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Texas Water Development Board</w:t>
      </w:r>
    </w:p>
    <w:p w14:paraId="090D26C8" w14:textId="363B307D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</w:p>
    <w:p w14:paraId="17BFFDD6" w14:textId="15EF142A" w:rsidR="00E50997" w:rsidRPr="0072199E" w:rsidRDefault="00E50997" w:rsidP="00E50997">
      <w:pPr>
        <w:jc w:val="center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Quality Control — Mapping</w:t>
      </w:r>
    </w:p>
    <w:p w14:paraId="0FE5497B" w14:textId="6A40AC54" w:rsidR="00F11486" w:rsidRPr="0072199E" w:rsidRDefault="00F11486" w:rsidP="00E50997">
      <w:pPr>
        <w:jc w:val="center"/>
        <w:rPr>
          <w:rFonts w:ascii="Arial" w:hAnsi="Arial" w:cs="Arial"/>
          <w:sz w:val="22"/>
          <w:szCs w:val="22"/>
        </w:rPr>
      </w:pPr>
    </w:p>
    <w:p w14:paraId="46C7D067" w14:textId="786B21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HUC 8 Reviewed:</w:t>
      </w:r>
      <w:r w:rsidRPr="0072199E">
        <w:rPr>
          <w:rFonts w:ascii="Arial" w:hAnsi="Arial" w:cs="Arial"/>
          <w:sz w:val="22"/>
          <w:szCs w:val="22"/>
        </w:rPr>
        <w:tab/>
      </w:r>
      <w:r w:rsidR="000048A3">
        <w:rPr>
          <w:rFonts w:ascii="Arial" w:hAnsi="Arial" w:cs="Arial"/>
          <w:sz w:val="22"/>
          <w:szCs w:val="22"/>
        </w:rPr>
        <w:t>Mission</w:t>
      </w:r>
    </w:p>
    <w:p w14:paraId="4E1FF8A4" w14:textId="5B0B397D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Submitted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 xml:space="preserve"> </w:t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="000048A3">
        <w:rPr>
          <w:rFonts w:ascii="Arial" w:hAnsi="Arial" w:cs="Arial"/>
          <w:sz w:val="22"/>
          <w:szCs w:val="22"/>
        </w:rPr>
        <w:t>Trish Burros</w:t>
      </w:r>
    </w:p>
    <w:p w14:paraId="75965D9C" w14:textId="130CBC86" w:rsidR="00F11486" w:rsidRPr="0072199E" w:rsidRDefault="00F11486" w:rsidP="00F11486">
      <w:pPr>
        <w:jc w:val="left"/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 xml:space="preserve">QC </w:t>
      </w:r>
      <w:proofErr w:type="gramStart"/>
      <w:r w:rsidRPr="0072199E">
        <w:rPr>
          <w:rFonts w:ascii="Arial" w:hAnsi="Arial" w:cs="Arial"/>
          <w:sz w:val="22"/>
          <w:szCs w:val="22"/>
        </w:rPr>
        <w:t>by:</w:t>
      </w:r>
      <w:proofErr w:type="gramEnd"/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</w:r>
      <w:r w:rsidRPr="0072199E">
        <w:rPr>
          <w:rFonts w:ascii="Arial" w:hAnsi="Arial" w:cs="Arial"/>
          <w:sz w:val="22"/>
          <w:szCs w:val="22"/>
        </w:rPr>
        <w:tab/>
        <w:t>Guillermo Simon</w:t>
      </w:r>
    </w:p>
    <w:p w14:paraId="72469434" w14:textId="1A9D5C1F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21E3C57D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p w14:paraId="674DF090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Comparison with effective mapping</w:t>
      </w:r>
    </w:p>
    <w:p w14:paraId="3412B7E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Compare water surface elevation and mapping extents, if possible. Of note, mapping extents may prove difficult to verify because BLE models rain-on-grid and effective maps show flow concentration.</w:t>
      </w:r>
    </w:p>
    <w:p w14:paraId="4D26E35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7ECCEE2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Mapping around HUC perimeter</w:t>
      </w:r>
    </w:p>
    <w:p w14:paraId="02C9901E" w14:textId="77777777" w:rsidR="003C5C1D" w:rsidRDefault="003C5C1D" w:rsidP="003C5C1D">
      <w:pPr>
        <w:ind w:left="720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mapping near downstream boundary condition</w:t>
      </w:r>
    </w:p>
    <w:p w14:paraId="09AA847A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6DA8EAED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T</w:t>
      </w:r>
      <w:r w:rsidRPr="00D83503">
        <w:rPr>
          <w:rFonts w:ascii="Arial" w:hAnsi="Arial" w:cs="Arial"/>
          <w:sz w:val="20"/>
        </w:rPr>
        <w:t>ie-in with neighboring basins</w:t>
      </w:r>
    </w:p>
    <w:p w14:paraId="0449762F" w14:textId="77777777" w:rsidR="003C5C1D" w:rsidRPr="00D83503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mapping continuity around the HUC’s perimeter</w:t>
      </w:r>
    </w:p>
    <w:p w14:paraId="1147A997" w14:textId="77777777" w:rsidR="003C5C1D" w:rsidRPr="00B26566" w:rsidRDefault="003C5C1D" w:rsidP="003C5C1D">
      <w:pPr>
        <w:ind w:left="720"/>
        <w:rPr>
          <w:rFonts w:ascii="Arial" w:hAnsi="Arial" w:cs="Arial"/>
          <w:sz w:val="20"/>
        </w:rPr>
      </w:pPr>
    </w:p>
    <w:p w14:paraId="0541C86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Stream connectivity</w:t>
      </w:r>
    </w:p>
    <w:p w14:paraId="47B1898E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Verify continuous mapping along conveying systems (creeks, channels, roads (?))</w:t>
      </w:r>
    </w:p>
    <w:p w14:paraId="00F6F5A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1D3A3B05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 w:rsidRPr="0072199E">
        <w:rPr>
          <w:rFonts w:ascii="Arial" w:hAnsi="Arial" w:cs="Arial"/>
          <w:sz w:val="22"/>
          <w:szCs w:val="22"/>
        </w:rPr>
        <w:t>Mapped depths</w:t>
      </w:r>
    </w:p>
    <w:p w14:paraId="5DF6E943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  <w:r w:rsidRPr="00B26566">
        <w:rPr>
          <w:rFonts w:ascii="Arial" w:hAnsi="Arial" w:cs="Arial"/>
          <w:sz w:val="20"/>
        </w:rPr>
        <w:t>Depth use in mapping. Is minimum depth consistent with other HUCS?</w:t>
      </w:r>
    </w:p>
    <w:p w14:paraId="645F8864" w14:textId="77777777" w:rsidR="003C5C1D" w:rsidRPr="00B26566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40004CC7" w14:textId="77777777" w:rsidR="003C5C1D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Mapping consistent with frequency.</w:t>
      </w:r>
    </w:p>
    <w:p w14:paraId="668E5013" w14:textId="77777777" w:rsidR="003C5C1D" w:rsidRDefault="003C5C1D" w:rsidP="003C5C1D">
      <w:pPr>
        <w:pStyle w:val="ListParagraph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Verify that mapping extents and flood elevations increase with lower frequencies (e.g., is 500-yr mapping “larger” than 100-yr mapping?)</w:t>
      </w:r>
    </w:p>
    <w:p w14:paraId="7CA2C450" w14:textId="77777777" w:rsidR="003C5C1D" w:rsidRPr="00EA7EDE" w:rsidRDefault="003C5C1D" w:rsidP="003C5C1D">
      <w:pPr>
        <w:pStyle w:val="ListParagraph"/>
        <w:rPr>
          <w:rFonts w:ascii="Arial" w:hAnsi="Arial" w:cs="Arial"/>
          <w:sz w:val="20"/>
        </w:rPr>
      </w:pPr>
    </w:p>
    <w:p w14:paraId="0B5221FC" w14:textId="77777777" w:rsidR="003C5C1D" w:rsidRPr="0072199E" w:rsidRDefault="003C5C1D" w:rsidP="003C5C1D">
      <w:pPr>
        <w:pStyle w:val="ListParagraph"/>
        <w:numPr>
          <w:ilvl w:val="0"/>
          <w:numId w:val="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Miscellaneous comments</w:t>
      </w:r>
    </w:p>
    <w:p w14:paraId="68EE69D5" w14:textId="77777777" w:rsidR="003C5C1D" w:rsidRPr="0072199E" w:rsidRDefault="003C5C1D" w:rsidP="003C5C1D">
      <w:pPr>
        <w:jc w:val="left"/>
        <w:rPr>
          <w:rFonts w:ascii="Arial" w:hAnsi="Arial" w:cs="Arial"/>
          <w:sz w:val="22"/>
          <w:szCs w:val="22"/>
        </w:rPr>
      </w:pPr>
    </w:p>
    <w:p w14:paraId="581D1A81" w14:textId="77777777" w:rsidR="0072199E" w:rsidRPr="0072199E" w:rsidRDefault="0072199E" w:rsidP="00F11486">
      <w:pPr>
        <w:jc w:val="left"/>
        <w:rPr>
          <w:rFonts w:ascii="Arial" w:hAnsi="Arial" w:cs="Arial"/>
          <w:sz w:val="22"/>
          <w:szCs w:val="22"/>
        </w:rPr>
      </w:pPr>
    </w:p>
    <w:tbl>
      <w:tblPr>
        <w:tblStyle w:val="TableGrid"/>
        <w:tblW w:w="9445" w:type="dxa"/>
        <w:tblLook w:val="04A0" w:firstRow="1" w:lastRow="0" w:firstColumn="1" w:lastColumn="0" w:noHBand="0" w:noVBand="1"/>
      </w:tblPr>
      <w:tblGrid>
        <w:gridCol w:w="2337"/>
        <w:gridCol w:w="2337"/>
        <w:gridCol w:w="4771"/>
      </w:tblGrid>
      <w:tr w:rsidR="000B6E34" w:rsidRPr="0072199E" w14:paraId="0B25D3A6" w14:textId="77777777" w:rsidTr="000B6E34">
        <w:tc>
          <w:tcPr>
            <w:tcW w:w="2337" w:type="dxa"/>
          </w:tcPr>
          <w:p w14:paraId="31B8AA76" w14:textId="4246D6A0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QC Round</w:t>
            </w:r>
          </w:p>
        </w:tc>
        <w:tc>
          <w:tcPr>
            <w:tcW w:w="2337" w:type="dxa"/>
          </w:tcPr>
          <w:p w14:paraId="14704F0E" w14:textId="7FE82834" w:rsidR="000B6E34" w:rsidRPr="0072199E" w:rsidRDefault="000B6E34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Date</w:t>
            </w:r>
          </w:p>
        </w:tc>
        <w:tc>
          <w:tcPr>
            <w:tcW w:w="4771" w:type="dxa"/>
          </w:tcPr>
          <w:p w14:paraId="33958BED" w14:textId="25663EDF" w:rsidR="000B6E34" w:rsidRPr="0072199E" w:rsidRDefault="0072199E" w:rsidP="0072199E">
            <w:pPr>
              <w:jc w:val="center"/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72199E">
              <w:rPr>
                <w:rFonts w:ascii="Arial" w:hAnsi="Arial" w:cs="Arial"/>
                <w:b/>
                <w:bCs/>
                <w:sz w:val="22"/>
                <w:szCs w:val="22"/>
              </w:rPr>
              <w:t>Comment</w:t>
            </w:r>
          </w:p>
        </w:tc>
      </w:tr>
      <w:tr w:rsidR="000B6E34" w:rsidRPr="0072199E" w14:paraId="4C1FD893" w14:textId="77777777" w:rsidTr="000B6E34">
        <w:tc>
          <w:tcPr>
            <w:tcW w:w="2337" w:type="dxa"/>
          </w:tcPr>
          <w:p w14:paraId="70209899" w14:textId="67F845E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sent</w:t>
            </w:r>
          </w:p>
        </w:tc>
        <w:tc>
          <w:tcPr>
            <w:tcW w:w="2337" w:type="dxa"/>
          </w:tcPr>
          <w:p w14:paraId="2D8B1F31" w14:textId="2FC47712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4D386D26" w14:textId="5DF32CA4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4DB73897" w14:textId="77777777" w:rsidTr="000B6E34">
        <w:tc>
          <w:tcPr>
            <w:tcW w:w="2337" w:type="dxa"/>
          </w:tcPr>
          <w:p w14:paraId="7CC44E86" w14:textId="6E128565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1 complete</w:t>
            </w:r>
          </w:p>
        </w:tc>
        <w:tc>
          <w:tcPr>
            <w:tcW w:w="2337" w:type="dxa"/>
          </w:tcPr>
          <w:p w14:paraId="120563B1" w14:textId="751EA20D" w:rsidR="000B6E34" w:rsidRPr="0072199E" w:rsidRDefault="00B10287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9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</w:t>
            </w:r>
            <w:r w:rsidR="000048A3">
              <w:rPr>
                <w:rFonts w:ascii="Arial" w:hAnsi="Arial" w:cs="Arial"/>
                <w:sz w:val="22"/>
                <w:szCs w:val="22"/>
              </w:rPr>
              <w:t>9</w:t>
            </w:r>
            <w:r w:rsidR="000B6E34" w:rsidRPr="0072199E">
              <w:rPr>
                <w:rFonts w:ascii="Arial" w:hAnsi="Arial" w:cs="Arial"/>
                <w:sz w:val="22"/>
                <w:szCs w:val="22"/>
              </w:rPr>
              <w:t>/2021</w:t>
            </w:r>
          </w:p>
        </w:tc>
        <w:tc>
          <w:tcPr>
            <w:tcW w:w="4771" w:type="dxa"/>
          </w:tcPr>
          <w:p w14:paraId="73CE3E43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1539B2B4" w14:textId="77777777" w:rsidTr="000B6E34">
        <w:tc>
          <w:tcPr>
            <w:tcW w:w="2337" w:type="dxa"/>
          </w:tcPr>
          <w:p w14:paraId="0902CBBB" w14:textId="2BC766A1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sent</w:t>
            </w:r>
          </w:p>
        </w:tc>
        <w:tc>
          <w:tcPr>
            <w:tcW w:w="2337" w:type="dxa"/>
          </w:tcPr>
          <w:p w14:paraId="4B4E745D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1BD2ECCD" w14:textId="77777777" w:rsidR="000B6E34" w:rsidRPr="0072199E" w:rsidRDefault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0B6E34" w:rsidRPr="0072199E" w14:paraId="55EAB7F2" w14:textId="77777777" w:rsidTr="000B6E34">
        <w:tc>
          <w:tcPr>
            <w:tcW w:w="2337" w:type="dxa"/>
          </w:tcPr>
          <w:p w14:paraId="39048E85" w14:textId="412F3F9E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  <w:r w:rsidRPr="0072199E">
              <w:rPr>
                <w:rFonts w:ascii="Arial" w:hAnsi="Arial" w:cs="Arial"/>
                <w:sz w:val="22"/>
                <w:szCs w:val="22"/>
              </w:rPr>
              <w:t>QC 2 complete</w:t>
            </w:r>
          </w:p>
        </w:tc>
        <w:tc>
          <w:tcPr>
            <w:tcW w:w="2337" w:type="dxa"/>
          </w:tcPr>
          <w:p w14:paraId="7EDC662B" w14:textId="77777777" w:rsidR="000B6E34" w:rsidRPr="0072199E" w:rsidRDefault="000B6E34" w:rsidP="0072199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4771" w:type="dxa"/>
          </w:tcPr>
          <w:p w14:paraId="6848885D" w14:textId="77777777" w:rsidR="000B6E34" w:rsidRPr="0072199E" w:rsidRDefault="000B6E34" w:rsidP="000B6E34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65D0C68" w14:textId="3AB1B85D" w:rsidR="00E50997" w:rsidRPr="0072199E" w:rsidRDefault="00E50997">
      <w:pPr>
        <w:rPr>
          <w:rFonts w:ascii="Arial" w:hAnsi="Arial" w:cs="Arial"/>
          <w:sz w:val="22"/>
          <w:szCs w:val="22"/>
        </w:rPr>
      </w:pPr>
    </w:p>
    <w:tbl>
      <w:tblPr>
        <w:tblStyle w:val="TableGrid"/>
        <w:tblW w:w="10530" w:type="dxa"/>
        <w:tblInd w:w="-545" w:type="dxa"/>
        <w:tblLook w:val="04A0" w:firstRow="1" w:lastRow="0" w:firstColumn="1" w:lastColumn="0" w:noHBand="0" w:noVBand="1"/>
      </w:tblPr>
      <w:tblGrid>
        <w:gridCol w:w="1484"/>
        <w:gridCol w:w="9046"/>
      </w:tblGrid>
      <w:tr w:rsidR="0072199E" w:rsidRPr="0072199E" w14:paraId="56331FFB" w14:textId="77777777" w:rsidTr="003D1027">
        <w:tc>
          <w:tcPr>
            <w:tcW w:w="1484" w:type="dxa"/>
          </w:tcPr>
          <w:p w14:paraId="41C5D875" w14:textId="0D1A4C6D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QC Item</w:t>
            </w:r>
          </w:p>
        </w:tc>
        <w:tc>
          <w:tcPr>
            <w:tcW w:w="9046" w:type="dxa"/>
          </w:tcPr>
          <w:p w14:paraId="5E0DE5BB" w14:textId="2A715D26" w:rsidR="0072199E" w:rsidRPr="0072199E" w:rsidRDefault="0072199E" w:rsidP="0072199E">
            <w:pPr>
              <w:jc w:val="center"/>
              <w:rPr>
                <w:rFonts w:ascii="Arial" w:hAnsi="Arial" w:cs="Arial"/>
                <w:sz w:val="20"/>
              </w:rPr>
            </w:pPr>
            <w:r w:rsidRPr="0072199E">
              <w:rPr>
                <w:rFonts w:ascii="Arial" w:hAnsi="Arial" w:cs="Arial"/>
                <w:sz w:val="20"/>
              </w:rPr>
              <w:t>Comments and figures</w:t>
            </w:r>
          </w:p>
        </w:tc>
      </w:tr>
      <w:tr w:rsidR="0072199E" w:rsidRPr="0072199E" w14:paraId="22FCD8A2" w14:textId="77777777" w:rsidTr="003D1027">
        <w:tc>
          <w:tcPr>
            <w:tcW w:w="1484" w:type="dxa"/>
          </w:tcPr>
          <w:p w14:paraId="025ED35A" w14:textId="436E3F14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 </w:t>
            </w:r>
            <w:r w:rsidR="0072199E" w:rsidRPr="0072199E">
              <w:rPr>
                <w:rFonts w:ascii="Arial" w:hAnsi="Arial" w:cs="Arial"/>
                <w:sz w:val="20"/>
              </w:rPr>
              <w:t>Comparison with effective mapping</w:t>
            </w:r>
          </w:p>
        </w:tc>
        <w:tc>
          <w:tcPr>
            <w:tcW w:w="9046" w:type="dxa"/>
          </w:tcPr>
          <w:p w14:paraId="636B0E8B" w14:textId="0449E415" w:rsidR="00AB36AE" w:rsidRDefault="00151847" w:rsidP="00B46B6D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1.1</w:t>
            </w:r>
            <w:r w:rsidR="00DA6A69">
              <w:rPr>
                <w:rFonts w:ascii="Arial" w:hAnsi="Arial" w:cs="Arial"/>
                <w:sz w:val="20"/>
              </w:rPr>
              <w:t xml:space="preserve"> </w:t>
            </w:r>
            <w:r w:rsidR="008239AD">
              <w:rPr>
                <w:rFonts w:ascii="Arial" w:hAnsi="Arial" w:cs="Arial"/>
                <w:sz w:val="20"/>
              </w:rPr>
              <w:t xml:space="preserve">BLE mapping shows </w:t>
            </w:r>
            <w:r w:rsidR="008D6715">
              <w:rPr>
                <w:rFonts w:ascii="Arial" w:hAnsi="Arial" w:cs="Arial"/>
                <w:sz w:val="20"/>
              </w:rPr>
              <w:t>comparable-to-</w:t>
            </w:r>
            <w:r w:rsidR="008239AD">
              <w:rPr>
                <w:rFonts w:ascii="Arial" w:hAnsi="Arial" w:cs="Arial"/>
                <w:sz w:val="20"/>
              </w:rPr>
              <w:t>wider floodplains than effective boundaries</w:t>
            </w:r>
            <w:r w:rsidR="008D6715">
              <w:rPr>
                <w:rFonts w:ascii="Arial" w:hAnsi="Arial" w:cs="Arial"/>
                <w:sz w:val="20"/>
              </w:rPr>
              <w:t xml:space="preserve">. Some areas show additional </w:t>
            </w:r>
            <w:r w:rsidR="005C38F1">
              <w:rPr>
                <w:rFonts w:ascii="Arial" w:hAnsi="Arial" w:cs="Arial"/>
                <w:sz w:val="20"/>
              </w:rPr>
              <w:t xml:space="preserve">significantly </w:t>
            </w:r>
            <w:r w:rsidR="008D6715">
              <w:rPr>
                <w:rFonts w:ascii="Arial" w:hAnsi="Arial" w:cs="Arial"/>
                <w:sz w:val="20"/>
              </w:rPr>
              <w:t>large</w:t>
            </w:r>
            <w:r w:rsidR="005C38F1">
              <w:rPr>
                <w:rFonts w:ascii="Arial" w:hAnsi="Arial" w:cs="Arial"/>
                <w:sz w:val="20"/>
              </w:rPr>
              <w:t>r</w:t>
            </w:r>
            <w:r w:rsidR="008D6715">
              <w:rPr>
                <w:rFonts w:ascii="Arial" w:hAnsi="Arial" w:cs="Arial"/>
                <w:sz w:val="20"/>
              </w:rPr>
              <w:t xml:space="preserve"> flood polygons (see figure below and item 5.1). </w:t>
            </w:r>
            <w:r w:rsidR="005C38F1">
              <w:rPr>
                <w:rFonts w:ascii="Arial" w:hAnsi="Arial" w:cs="Arial"/>
                <w:sz w:val="20"/>
              </w:rPr>
              <w:t>This may be correct based on flood model results. See item 5.1 for more details regarding mapping of shallow flood depths.</w:t>
            </w:r>
          </w:p>
          <w:p w14:paraId="0076E9F4" w14:textId="77777777" w:rsidR="008D6715" w:rsidRDefault="008D6715" w:rsidP="00B46B6D">
            <w:pPr>
              <w:jc w:val="left"/>
              <w:rPr>
                <w:rFonts w:ascii="Arial" w:hAnsi="Arial" w:cs="Arial"/>
                <w:sz w:val="20"/>
              </w:rPr>
            </w:pPr>
          </w:p>
          <w:p w14:paraId="21385CD7" w14:textId="77777777" w:rsidR="008D6715" w:rsidRDefault="008D6715" w:rsidP="00B46B6D">
            <w:pPr>
              <w:jc w:val="left"/>
              <w:rPr>
                <w:rFonts w:ascii="Arial" w:hAnsi="Arial" w:cs="Arial"/>
                <w:sz w:val="20"/>
              </w:rPr>
            </w:pPr>
            <w:r w:rsidRPr="008D6715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7DFD68B9" wp14:editId="1C94C225">
                  <wp:extent cx="3067050" cy="2876999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3310" cy="29203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222A83" w14:textId="77777777" w:rsidR="008D6715" w:rsidRDefault="008D6715" w:rsidP="008D6715">
            <w:pPr>
              <w:jc w:val="left"/>
              <w:rPr>
                <w:rFonts w:ascii="Arial" w:hAnsi="Arial" w:cs="Arial"/>
                <w:sz w:val="20"/>
              </w:rPr>
            </w:pPr>
          </w:p>
          <w:p w14:paraId="55BBA2AD" w14:textId="38FBB78F" w:rsidR="008D6715" w:rsidRDefault="008D6715" w:rsidP="008D6715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1.2 BLE mapping covers effective 500-yr areas (see gray-shaded areas in the figure below). Mapping </w:t>
            </w:r>
            <w:r w:rsidR="00301825">
              <w:rPr>
                <w:rFonts w:ascii="Arial" w:hAnsi="Arial" w:cs="Arial"/>
                <w:sz w:val="20"/>
              </w:rPr>
              <w:t xml:space="preserve">of BLE </w:t>
            </w:r>
            <w:r>
              <w:rPr>
                <w:rFonts w:ascii="Arial" w:hAnsi="Arial" w:cs="Arial"/>
                <w:sz w:val="20"/>
              </w:rPr>
              <w:t>appears reasonable, but</w:t>
            </w:r>
            <w:r w:rsidR="00301825">
              <w:rPr>
                <w:rFonts w:ascii="Arial" w:hAnsi="Arial" w:cs="Arial"/>
                <w:sz w:val="20"/>
              </w:rPr>
              <w:t xml:space="preserve"> tie-ins may prove tricky. I recommend reviewing tie-ins more closely in the few, populated areas.</w:t>
            </w:r>
          </w:p>
          <w:p w14:paraId="110E9219" w14:textId="77777777" w:rsidR="008D6715" w:rsidRDefault="008D6715" w:rsidP="00B46B6D">
            <w:pPr>
              <w:jc w:val="left"/>
              <w:rPr>
                <w:rFonts w:ascii="Arial" w:hAnsi="Arial" w:cs="Arial"/>
                <w:sz w:val="20"/>
              </w:rPr>
            </w:pPr>
          </w:p>
          <w:p w14:paraId="4990BFA9" w14:textId="034F1735" w:rsidR="008D6715" w:rsidRDefault="008D6715" w:rsidP="00B46B6D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  </w:t>
            </w:r>
            <w:bookmarkStart w:id="0" w:name="_GoBack"/>
            <w:r w:rsidRPr="008D6715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DBAE10A" wp14:editId="5AA3CAF4">
                  <wp:extent cx="2765146" cy="2774304"/>
                  <wp:effectExtent l="0" t="0" r="0" b="762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517" cy="28138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0C39EDC0" w14:textId="256299A6" w:rsidR="00301825" w:rsidRDefault="00301825" w:rsidP="00B46B6D">
            <w:pPr>
              <w:jc w:val="left"/>
              <w:rPr>
                <w:rFonts w:ascii="Arial" w:hAnsi="Arial" w:cs="Arial"/>
                <w:sz w:val="20"/>
              </w:rPr>
            </w:pPr>
          </w:p>
          <w:p w14:paraId="52AD36EF" w14:textId="78BB497E" w:rsidR="00301825" w:rsidRDefault="00AF2484" w:rsidP="00B46B6D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1.3 The area below shows significant differences with respect to effective flood hazard areas. I recommend ensuring that BLE mapping near the populated area is consistent with our model results.</w:t>
            </w:r>
          </w:p>
          <w:p w14:paraId="43FF6FE4" w14:textId="2CC5A371" w:rsidR="00AF2484" w:rsidRDefault="00AF2484" w:rsidP="00B46B6D">
            <w:pPr>
              <w:jc w:val="left"/>
              <w:rPr>
                <w:rFonts w:ascii="Arial" w:hAnsi="Arial" w:cs="Arial"/>
                <w:sz w:val="20"/>
              </w:rPr>
            </w:pPr>
            <w:r w:rsidRPr="00AF2484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351BE4EB" wp14:editId="1F83E3A1">
                  <wp:extent cx="4400550" cy="2470138"/>
                  <wp:effectExtent l="0" t="0" r="0" b="6985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4609" cy="2472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DEDE25" w14:textId="6CF9E345" w:rsidR="008D6715" w:rsidRPr="0072199E" w:rsidRDefault="008D6715" w:rsidP="00B46B6D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5D6B7627" w14:textId="77777777" w:rsidTr="003D1027">
        <w:tc>
          <w:tcPr>
            <w:tcW w:w="1484" w:type="dxa"/>
          </w:tcPr>
          <w:p w14:paraId="590F893F" w14:textId="16AB2A8E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2. </w:t>
            </w:r>
            <w:r w:rsidR="0072199E" w:rsidRPr="0072199E">
              <w:rPr>
                <w:rFonts w:ascii="Arial" w:hAnsi="Arial" w:cs="Arial"/>
                <w:sz w:val="20"/>
              </w:rPr>
              <w:t>Mapping near downstream boundary condition</w:t>
            </w:r>
          </w:p>
        </w:tc>
        <w:tc>
          <w:tcPr>
            <w:tcW w:w="9046" w:type="dxa"/>
          </w:tcPr>
          <w:p w14:paraId="44893580" w14:textId="019A8BE3" w:rsidR="00486827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2.1</w:t>
            </w:r>
            <w:r w:rsidR="000048A3">
              <w:rPr>
                <w:rFonts w:ascii="Arial" w:hAnsi="Arial" w:cs="Arial"/>
                <w:sz w:val="20"/>
              </w:rPr>
              <w:t xml:space="preserve"> </w:t>
            </w:r>
            <w:r w:rsidR="005C38F1">
              <w:rPr>
                <w:rFonts w:ascii="Arial" w:hAnsi="Arial" w:cs="Arial"/>
                <w:sz w:val="20"/>
              </w:rPr>
              <w:t>Downstream mapping will tie-in with coastal flood hazards.</w:t>
            </w:r>
          </w:p>
          <w:p w14:paraId="0C487D3C" w14:textId="4D07FF2E" w:rsidR="0073470E" w:rsidRDefault="0073470E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44110EA4" w14:textId="2A3D49E4" w:rsidR="00486827" w:rsidRPr="0072199E" w:rsidRDefault="00486827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55FF0CD" w14:textId="77777777" w:rsidTr="003D1027">
        <w:tc>
          <w:tcPr>
            <w:tcW w:w="1484" w:type="dxa"/>
          </w:tcPr>
          <w:p w14:paraId="7EA0A86E" w14:textId="74B73F1B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 xml:space="preserve">3. </w:t>
            </w:r>
            <w:r w:rsidR="0072199E" w:rsidRPr="0072199E">
              <w:rPr>
                <w:rFonts w:ascii="Arial" w:hAnsi="Arial" w:cs="Arial"/>
                <w:sz w:val="20"/>
              </w:rPr>
              <w:t xml:space="preserve">Mapping of </w:t>
            </w:r>
            <w:proofErr w:type="spellStart"/>
            <w:r>
              <w:rPr>
                <w:rFonts w:ascii="Arial" w:hAnsi="Arial" w:cs="Arial"/>
                <w:sz w:val="20"/>
              </w:rPr>
              <w:t>inter</w:t>
            </w:r>
            <w:r w:rsidR="0072199E" w:rsidRPr="0072199E">
              <w:rPr>
                <w:rFonts w:ascii="Arial" w:hAnsi="Arial" w:cs="Arial"/>
                <w:sz w:val="20"/>
              </w:rPr>
              <w:t>basin</w:t>
            </w:r>
            <w:proofErr w:type="spellEnd"/>
            <w:r w:rsidR="0072199E" w:rsidRPr="0072199E">
              <w:rPr>
                <w:rFonts w:ascii="Arial" w:hAnsi="Arial" w:cs="Arial"/>
                <w:sz w:val="20"/>
              </w:rPr>
              <w:t xml:space="preserve"> flow transfer (tie-ins)</w:t>
            </w:r>
          </w:p>
        </w:tc>
        <w:tc>
          <w:tcPr>
            <w:tcW w:w="9046" w:type="dxa"/>
          </w:tcPr>
          <w:p w14:paraId="63D12007" w14:textId="3C0C0696" w:rsidR="00910DDD" w:rsidRDefault="00821A63" w:rsidP="000048A3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3.1</w:t>
            </w:r>
            <w:r w:rsidR="000048A3">
              <w:rPr>
                <w:rFonts w:ascii="Arial" w:hAnsi="Arial" w:cs="Arial"/>
                <w:sz w:val="20"/>
              </w:rPr>
              <w:t xml:space="preserve"> </w:t>
            </w:r>
            <w:r w:rsidR="005C38F1">
              <w:rPr>
                <w:rFonts w:ascii="Arial" w:hAnsi="Arial" w:cs="Arial"/>
                <w:sz w:val="20"/>
              </w:rPr>
              <w:t xml:space="preserve">The lower half of </w:t>
            </w:r>
            <w:r w:rsidR="0016043B">
              <w:rPr>
                <w:rFonts w:ascii="Arial" w:hAnsi="Arial" w:cs="Arial"/>
                <w:sz w:val="20"/>
              </w:rPr>
              <w:t>Mission</w:t>
            </w:r>
            <w:r w:rsidR="005C38F1">
              <w:rPr>
                <w:rFonts w:ascii="Arial" w:hAnsi="Arial" w:cs="Arial"/>
                <w:sz w:val="20"/>
              </w:rPr>
              <w:t xml:space="preserve"> HUC shows</w:t>
            </w:r>
            <w:r w:rsidR="0016043B">
              <w:rPr>
                <w:rFonts w:ascii="Arial" w:hAnsi="Arial" w:cs="Arial"/>
                <w:sz w:val="20"/>
              </w:rPr>
              <w:t xml:space="preserve"> large areas mapping into Aransas HUC. These “basin overflow” may complicate tie-ins with Aransas and Aransas Bay. At a minimum, verify proper connectivity along obvious channels.</w:t>
            </w:r>
          </w:p>
          <w:p w14:paraId="1588C071" w14:textId="77777777" w:rsidR="0016043B" w:rsidRDefault="0016043B" w:rsidP="000048A3">
            <w:pPr>
              <w:jc w:val="left"/>
              <w:rPr>
                <w:rFonts w:ascii="Arial" w:hAnsi="Arial" w:cs="Arial"/>
                <w:sz w:val="20"/>
              </w:rPr>
            </w:pPr>
          </w:p>
          <w:p w14:paraId="3B8DA755" w14:textId="03B635DA" w:rsidR="0016043B" w:rsidRDefault="0016043B" w:rsidP="000048A3">
            <w:pPr>
              <w:jc w:val="left"/>
              <w:rPr>
                <w:rFonts w:ascii="Arial" w:hAnsi="Arial" w:cs="Arial"/>
                <w:sz w:val="20"/>
              </w:rPr>
            </w:pPr>
            <w:r w:rsidRPr="0016043B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03C909D" wp14:editId="0251C2F1">
                  <wp:extent cx="3123565" cy="1348873"/>
                  <wp:effectExtent l="0" t="0" r="635" b="381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8772" cy="1364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BDE8DD" w14:textId="148A9832" w:rsidR="00910DDD" w:rsidRDefault="00910DDD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23FD691E" w14:textId="34658854" w:rsidR="0016043B" w:rsidRDefault="0016043B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16043B">
              <w:rPr>
                <w:rFonts w:ascii="Arial" w:hAnsi="Arial" w:cs="Arial"/>
                <w:noProof/>
                <w:sz w:val="20"/>
              </w:rPr>
              <w:lastRenderedPageBreak/>
              <w:drawing>
                <wp:inline distT="0" distB="0" distL="0" distR="0" wp14:anchorId="059DB26E" wp14:editId="5C061787">
                  <wp:extent cx="3123699" cy="2356123"/>
                  <wp:effectExtent l="0" t="0" r="635" b="635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3814" cy="23788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2BBE35" w14:textId="35C6F236" w:rsidR="0016043B" w:rsidRDefault="0016043B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2C46DEE8" w14:textId="7DCEFC7F" w:rsidR="0016043B" w:rsidRDefault="0016043B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3.2 If I recall correctly, the area below had significant overflow which we addressed during the modeling phase. Ensure proper tie-in.</w:t>
            </w:r>
          </w:p>
          <w:p w14:paraId="40F156F7" w14:textId="05A21548" w:rsidR="0016043B" w:rsidRDefault="0016043B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6170C93" w14:textId="29E48466" w:rsidR="0016043B" w:rsidRDefault="0016043B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16043B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EB7F759" wp14:editId="0B132710">
                  <wp:extent cx="2283195" cy="2540542"/>
                  <wp:effectExtent l="0" t="0" r="317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157" cy="25583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6A843C" w14:textId="35C39B21" w:rsidR="003B7F01" w:rsidRPr="00486827" w:rsidRDefault="003B7F01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059E5C40" w14:textId="77777777" w:rsidTr="003D1027">
        <w:tc>
          <w:tcPr>
            <w:tcW w:w="1484" w:type="dxa"/>
          </w:tcPr>
          <w:p w14:paraId="3CA5BDD1" w14:textId="3C95E3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 xml:space="preserve">4. </w:t>
            </w:r>
            <w:r w:rsidR="0072199E" w:rsidRPr="0072199E">
              <w:rPr>
                <w:rFonts w:ascii="Arial" w:hAnsi="Arial" w:cs="Arial"/>
                <w:sz w:val="20"/>
              </w:rPr>
              <w:t xml:space="preserve">Stream </w:t>
            </w:r>
            <w:r>
              <w:rPr>
                <w:rFonts w:ascii="Arial" w:hAnsi="Arial" w:cs="Arial"/>
                <w:sz w:val="20"/>
              </w:rPr>
              <w:t>continuity</w:t>
            </w:r>
          </w:p>
        </w:tc>
        <w:tc>
          <w:tcPr>
            <w:tcW w:w="9046" w:type="dxa"/>
          </w:tcPr>
          <w:p w14:paraId="6626445A" w14:textId="60AD2BD4" w:rsidR="00FE6129" w:rsidRDefault="00587446" w:rsidP="000048A3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4.1</w:t>
            </w:r>
            <w:r w:rsidR="00301825">
              <w:rPr>
                <w:rFonts w:ascii="Arial" w:hAnsi="Arial" w:cs="Arial"/>
                <w:sz w:val="20"/>
              </w:rPr>
              <w:t xml:space="preserve"> Stream continuity appears reasonable thanks, in part, to the wider BLE floodplains. Some discontinuities are normal</w:t>
            </w:r>
            <w:r w:rsidR="005C38F1">
              <w:rPr>
                <w:rFonts w:ascii="Arial" w:hAnsi="Arial" w:cs="Arial"/>
                <w:sz w:val="20"/>
              </w:rPr>
              <w:t xml:space="preserve"> for BLE mapping.</w:t>
            </w:r>
          </w:p>
          <w:p w14:paraId="11816439" w14:textId="2BEE96C1" w:rsidR="00FE6129" w:rsidRDefault="00FE6129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B1A3EDB" w14:textId="77777777" w:rsidR="00FE6129" w:rsidRDefault="00FE6129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3D6FD07F" w14:textId="75FE9893" w:rsidR="00587446" w:rsidRPr="0072199E" w:rsidRDefault="00587446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1A32A5A3" w14:textId="77777777" w:rsidTr="003D1027">
        <w:tc>
          <w:tcPr>
            <w:tcW w:w="1484" w:type="dxa"/>
          </w:tcPr>
          <w:p w14:paraId="2CD4DF44" w14:textId="41394348" w:rsidR="0072199E" w:rsidRPr="0033776F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 w:rsidRPr="0033776F">
              <w:rPr>
                <w:rFonts w:ascii="Arial" w:hAnsi="Arial" w:cs="Arial"/>
                <w:sz w:val="20"/>
              </w:rPr>
              <w:t xml:space="preserve">5. </w:t>
            </w:r>
            <w:r w:rsidR="0072199E" w:rsidRPr="0033776F">
              <w:rPr>
                <w:rFonts w:ascii="Arial" w:hAnsi="Arial" w:cs="Arial"/>
                <w:sz w:val="20"/>
              </w:rPr>
              <w:t>Mapped depths</w:t>
            </w:r>
          </w:p>
        </w:tc>
        <w:tc>
          <w:tcPr>
            <w:tcW w:w="9046" w:type="dxa"/>
          </w:tcPr>
          <w:p w14:paraId="7CB2DC27" w14:textId="05D91DAC" w:rsidR="00B46B6D" w:rsidRDefault="00151847" w:rsidP="00B46B6D">
            <w:pPr>
              <w:jc w:val="left"/>
              <w:rPr>
                <w:rFonts w:ascii="Arial" w:hAnsi="Arial" w:cs="Arial"/>
                <w:sz w:val="20"/>
              </w:rPr>
            </w:pPr>
            <w:r w:rsidRPr="0033776F">
              <w:rPr>
                <w:rFonts w:ascii="Arial" w:hAnsi="Arial" w:cs="Arial"/>
                <w:sz w:val="20"/>
              </w:rPr>
              <w:t>5.1</w:t>
            </w:r>
            <w:r w:rsidR="00BF4C08" w:rsidRPr="0033776F">
              <w:rPr>
                <w:rFonts w:ascii="Arial" w:hAnsi="Arial" w:cs="Arial"/>
                <w:sz w:val="20"/>
              </w:rPr>
              <w:t xml:space="preserve"> </w:t>
            </w:r>
            <w:r w:rsidR="00B46B6D">
              <w:rPr>
                <w:rFonts w:ascii="Arial" w:hAnsi="Arial" w:cs="Arial"/>
                <w:sz w:val="20"/>
              </w:rPr>
              <w:t>In general, BLE mapping adds a substantial number of flood polygons throughout the lower half of the HUC. Many of these additional polygons represent shallow areas (less than 0.25 feet deep)</w:t>
            </w:r>
            <w:r w:rsidR="008239AD">
              <w:rPr>
                <w:rFonts w:ascii="Arial" w:hAnsi="Arial" w:cs="Arial"/>
                <w:sz w:val="20"/>
              </w:rPr>
              <w:t xml:space="preserve"> in flat terrain</w:t>
            </w:r>
            <w:r w:rsidR="00B46B6D">
              <w:rPr>
                <w:rFonts w:ascii="Arial" w:hAnsi="Arial" w:cs="Arial"/>
                <w:sz w:val="20"/>
              </w:rPr>
              <w:t>. Ensure this criterion is consistent with other HUCs</w:t>
            </w:r>
            <w:r w:rsidR="008239AD">
              <w:rPr>
                <w:rFonts w:ascii="Arial" w:hAnsi="Arial" w:cs="Arial"/>
                <w:sz w:val="20"/>
              </w:rPr>
              <w:t>, as I do not recall adding so many flood areas in other HUCs.</w:t>
            </w:r>
          </w:p>
          <w:p w14:paraId="74B4BC5A" w14:textId="55925A57" w:rsidR="00B46B6D" w:rsidRDefault="00B46B6D" w:rsidP="00B46B6D">
            <w:pPr>
              <w:jc w:val="left"/>
              <w:rPr>
                <w:rFonts w:ascii="Arial" w:hAnsi="Arial" w:cs="Arial"/>
                <w:sz w:val="20"/>
              </w:rPr>
            </w:pPr>
          </w:p>
          <w:p w14:paraId="54AAB005" w14:textId="6AA0A21B" w:rsidR="00B46B6D" w:rsidRDefault="00B24ABA" w:rsidP="00B46B6D">
            <w:pPr>
              <w:jc w:val="left"/>
              <w:rPr>
                <w:rFonts w:ascii="Arial" w:hAnsi="Arial" w:cs="Arial"/>
                <w:sz w:val="20"/>
              </w:rPr>
            </w:pPr>
            <w:r w:rsidRPr="00B46B6D">
              <w:rPr>
                <w:rFonts w:ascii="Arial" w:hAnsi="Arial" w:cs="Arial"/>
                <w:noProof/>
                <w:sz w:val="20"/>
              </w:rPr>
              <w:lastRenderedPageBreak/>
              <w:drawing>
                <wp:anchor distT="0" distB="0" distL="114300" distR="114300" simplePos="0" relativeHeight="251662336" behindDoc="0" locked="0" layoutInCell="1" allowOverlap="1" wp14:anchorId="55D35375" wp14:editId="49B99C52">
                  <wp:simplePos x="0" y="0"/>
                  <wp:positionH relativeFrom="column">
                    <wp:posOffset>2767704</wp:posOffset>
                  </wp:positionH>
                  <wp:positionV relativeFrom="paragraph">
                    <wp:posOffset>38735</wp:posOffset>
                  </wp:positionV>
                  <wp:extent cx="643737" cy="424109"/>
                  <wp:effectExtent l="0" t="0" r="4445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737" cy="424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46B6D" w:rsidRPr="00B46B6D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F573EA9" wp14:editId="740DC831">
                  <wp:extent cx="2721255" cy="2038615"/>
                  <wp:effectExtent l="0" t="0" r="317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5035" cy="2071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46B6D">
              <w:rPr>
                <w:rFonts w:ascii="Arial" w:hAnsi="Arial" w:cs="Arial"/>
                <w:sz w:val="20"/>
              </w:rPr>
              <w:t xml:space="preserve"> </w:t>
            </w:r>
            <w:r w:rsidR="00B46B6D" w:rsidRPr="00B46B6D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F56EC5E" wp14:editId="04B69657">
                  <wp:extent cx="2757831" cy="2062186"/>
                  <wp:effectExtent l="0" t="0" r="444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381" cy="2076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2F9C3D" w14:textId="48D232A9" w:rsidR="00B46B6D" w:rsidRDefault="00B46B6D" w:rsidP="00B46B6D">
            <w:pPr>
              <w:jc w:val="left"/>
              <w:rPr>
                <w:rFonts w:ascii="Arial" w:hAnsi="Arial" w:cs="Arial"/>
                <w:sz w:val="20"/>
              </w:rPr>
            </w:pPr>
          </w:p>
          <w:p w14:paraId="096D8AFA" w14:textId="2FE740C8" w:rsidR="00B46B6D" w:rsidRDefault="00B46B6D" w:rsidP="00B46B6D">
            <w:pPr>
              <w:jc w:val="left"/>
              <w:rPr>
                <w:rFonts w:ascii="Arial" w:hAnsi="Arial" w:cs="Arial"/>
                <w:sz w:val="20"/>
              </w:rPr>
            </w:pPr>
            <w:r w:rsidRPr="00B46B6D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23504125" wp14:editId="55ACFE57">
                  <wp:extent cx="2696006" cy="1916583"/>
                  <wp:effectExtent l="0" t="0" r="9525" b="762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248" cy="1921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B46B6D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6019D503" wp14:editId="1CA9C4CB">
                  <wp:extent cx="2735885" cy="1924765"/>
                  <wp:effectExtent l="0" t="0" r="762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585" cy="19365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B5D53F" w14:textId="0F0012A5" w:rsidR="00CA115A" w:rsidRPr="0033776F" w:rsidRDefault="00CA115A" w:rsidP="000048A3">
            <w:pPr>
              <w:jc w:val="left"/>
              <w:rPr>
                <w:rFonts w:ascii="Arial" w:hAnsi="Arial" w:cs="Arial"/>
                <w:sz w:val="20"/>
              </w:rPr>
            </w:pPr>
          </w:p>
          <w:p w14:paraId="39F2710E" w14:textId="61DDE524" w:rsidR="00CA115A" w:rsidRPr="0033776F" w:rsidRDefault="00CA115A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D8609CB" w14:textId="105D2A0C" w:rsidR="00984250" w:rsidRPr="0033776F" w:rsidRDefault="00984250" w:rsidP="0072199E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7FC00F4E" w14:textId="77777777" w:rsidTr="003D1027">
        <w:tc>
          <w:tcPr>
            <w:tcW w:w="1484" w:type="dxa"/>
          </w:tcPr>
          <w:p w14:paraId="51D463E9" w14:textId="35C217E9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6. Mapping consistent with frequency</w:t>
            </w:r>
          </w:p>
        </w:tc>
        <w:tc>
          <w:tcPr>
            <w:tcW w:w="9046" w:type="dxa"/>
          </w:tcPr>
          <w:p w14:paraId="2AE2B436" w14:textId="44932C7D" w:rsidR="00541181" w:rsidRDefault="00151847" w:rsidP="000048A3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</w:t>
            </w:r>
            <w:r w:rsidR="00E67C1C">
              <w:rPr>
                <w:rFonts w:ascii="Arial" w:hAnsi="Arial" w:cs="Arial"/>
                <w:sz w:val="20"/>
              </w:rPr>
              <w:t>1</w:t>
            </w:r>
            <w:r w:rsidR="00CA115A">
              <w:rPr>
                <w:rFonts w:ascii="Arial" w:hAnsi="Arial" w:cs="Arial"/>
                <w:sz w:val="20"/>
              </w:rPr>
              <w:t xml:space="preserve"> </w:t>
            </w:r>
            <w:r w:rsidR="00AF2484">
              <w:rPr>
                <w:rFonts w:ascii="Arial" w:hAnsi="Arial" w:cs="Arial"/>
                <w:sz w:val="20"/>
              </w:rPr>
              <w:t>The 10-yr flood hazard area appears spotty and too inconsistent</w:t>
            </w:r>
            <w:r w:rsidR="00B24ABA">
              <w:rPr>
                <w:rFonts w:ascii="Arial" w:hAnsi="Arial" w:cs="Arial"/>
                <w:sz w:val="20"/>
              </w:rPr>
              <w:t xml:space="preserve">, but this appears to be an issue that appears when I zoom in, only. Please review the file anyway. </w:t>
            </w:r>
          </w:p>
          <w:p w14:paraId="61FEF6B8" w14:textId="77777777" w:rsidR="00AF2484" w:rsidRDefault="00AF2484" w:rsidP="000048A3">
            <w:pPr>
              <w:jc w:val="left"/>
              <w:rPr>
                <w:rFonts w:ascii="Arial" w:hAnsi="Arial" w:cs="Arial"/>
                <w:sz w:val="20"/>
              </w:rPr>
            </w:pPr>
          </w:p>
          <w:p w14:paraId="2D98DEBF" w14:textId="3CB17CAB" w:rsidR="00AF2484" w:rsidRDefault="00B24ABA" w:rsidP="000048A3">
            <w:pPr>
              <w:jc w:val="left"/>
              <w:rPr>
                <w:rFonts w:ascii="Arial" w:hAnsi="Arial" w:cs="Arial"/>
                <w:sz w:val="20"/>
              </w:rPr>
            </w:pPr>
            <w:r w:rsidRPr="00B24AB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319EF528" wp14:editId="76BE9602">
                  <wp:extent cx="2578100" cy="2197996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2841" cy="2210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sz w:val="20"/>
              </w:rPr>
              <w:t xml:space="preserve"> </w:t>
            </w:r>
            <w:r w:rsidRPr="00B24ABA">
              <w:rPr>
                <w:rFonts w:ascii="Arial" w:hAnsi="Arial" w:cs="Arial"/>
                <w:noProof/>
                <w:sz w:val="20"/>
              </w:rPr>
              <w:drawing>
                <wp:inline distT="0" distB="0" distL="0" distR="0" wp14:anchorId="00088BCF" wp14:editId="6C4D7217">
                  <wp:extent cx="2560272" cy="2196879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418" cy="2215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F0DA4" w14:textId="346B5121" w:rsidR="00B24ABA" w:rsidRDefault="00B24ABA" w:rsidP="000048A3">
            <w:pPr>
              <w:jc w:val="left"/>
              <w:rPr>
                <w:rFonts w:ascii="Arial" w:hAnsi="Arial" w:cs="Arial"/>
                <w:sz w:val="20"/>
              </w:rPr>
            </w:pPr>
          </w:p>
          <w:p w14:paraId="14141EE8" w14:textId="540E384D" w:rsidR="00B24ABA" w:rsidRDefault="00B24ABA" w:rsidP="000048A3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6.2 I have not reviewed frequency consistency (0.2 &gt; 1 &gt; 10%).</w:t>
            </w:r>
          </w:p>
          <w:p w14:paraId="5C09D1BC" w14:textId="76E0EAB3" w:rsidR="00B24ABA" w:rsidRPr="0072199E" w:rsidRDefault="00B24ABA" w:rsidP="000048A3">
            <w:pPr>
              <w:jc w:val="left"/>
              <w:rPr>
                <w:rFonts w:ascii="Arial" w:hAnsi="Arial" w:cs="Arial"/>
                <w:sz w:val="20"/>
              </w:rPr>
            </w:pPr>
          </w:p>
        </w:tc>
      </w:tr>
      <w:tr w:rsidR="0072199E" w:rsidRPr="0072199E" w14:paraId="33EB102F" w14:textId="77777777" w:rsidTr="003D1027">
        <w:tc>
          <w:tcPr>
            <w:tcW w:w="1484" w:type="dxa"/>
          </w:tcPr>
          <w:p w14:paraId="678BCE76" w14:textId="0D4A8210" w:rsidR="0072199E" w:rsidRP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lastRenderedPageBreak/>
              <w:t>7. Miscellaneous</w:t>
            </w:r>
          </w:p>
        </w:tc>
        <w:tc>
          <w:tcPr>
            <w:tcW w:w="9046" w:type="dxa"/>
          </w:tcPr>
          <w:p w14:paraId="338A7712" w14:textId="523BB449" w:rsidR="0072199E" w:rsidRDefault="00151847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7.1</w:t>
            </w:r>
            <w:r w:rsidR="00541181">
              <w:rPr>
                <w:rFonts w:ascii="Arial" w:hAnsi="Arial" w:cs="Arial"/>
                <w:sz w:val="20"/>
              </w:rPr>
              <w:t xml:space="preserve"> </w:t>
            </w:r>
            <w:r w:rsidR="005C38F1">
              <w:rPr>
                <w:rFonts w:ascii="Arial" w:hAnsi="Arial" w:cs="Arial"/>
                <w:sz w:val="20"/>
              </w:rPr>
              <w:t xml:space="preserve">Refreshing the 100-yr feature class while zoomed out is too slow. Assuming I have no network connectivity issues, please </w:t>
            </w:r>
            <w:r w:rsidR="00AF2484">
              <w:rPr>
                <w:rFonts w:ascii="Arial" w:hAnsi="Arial" w:cs="Arial"/>
                <w:sz w:val="20"/>
              </w:rPr>
              <w:t>verify</w:t>
            </w:r>
            <w:r w:rsidR="005C38F1">
              <w:rPr>
                <w:rFonts w:ascii="Arial" w:hAnsi="Arial" w:cs="Arial"/>
                <w:sz w:val="20"/>
              </w:rPr>
              <w:t xml:space="preserve"> that </w:t>
            </w:r>
            <w:r w:rsidR="00AF2484">
              <w:rPr>
                <w:rFonts w:ascii="Arial" w:hAnsi="Arial" w:cs="Arial"/>
                <w:sz w:val="20"/>
              </w:rPr>
              <w:t xml:space="preserve">we simplify the </w:t>
            </w:r>
            <w:r w:rsidR="005C38F1">
              <w:rPr>
                <w:rFonts w:ascii="Arial" w:hAnsi="Arial" w:cs="Arial"/>
                <w:sz w:val="20"/>
              </w:rPr>
              <w:t xml:space="preserve">feature class (or shapefile) </w:t>
            </w:r>
            <w:r w:rsidR="0016043B">
              <w:rPr>
                <w:rFonts w:ascii="Arial" w:hAnsi="Arial" w:cs="Arial"/>
                <w:sz w:val="20"/>
              </w:rPr>
              <w:t>consistent with FEMA and TWDB standards.</w:t>
            </w:r>
          </w:p>
          <w:p w14:paraId="3877CD48" w14:textId="77777777" w:rsidR="00AF2484" w:rsidRDefault="00AF2484" w:rsidP="0072199E">
            <w:pPr>
              <w:jc w:val="left"/>
              <w:rPr>
                <w:rFonts w:ascii="Arial" w:hAnsi="Arial" w:cs="Arial"/>
                <w:sz w:val="20"/>
              </w:rPr>
            </w:pPr>
          </w:p>
          <w:p w14:paraId="797C62E6" w14:textId="02DDDBC6" w:rsidR="00AF2484" w:rsidRPr="0072199E" w:rsidRDefault="00AF2484" w:rsidP="0072199E">
            <w:pPr>
              <w:jc w:val="left"/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7.2 The BLE 100-yr feature class shows pixelated boundaries. Ensure proper simplification to remove such “jaggedness.” Simplifying the delineation may also result in faster refreshing times.</w:t>
            </w:r>
          </w:p>
        </w:tc>
      </w:tr>
    </w:tbl>
    <w:p w14:paraId="4EFAA5AB" w14:textId="17FC7F53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4CAD4714" w14:textId="625DA8CF" w:rsidR="000B6E34" w:rsidRDefault="000B6E34">
      <w:pPr>
        <w:rPr>
          <w:rFonts w:ascii="Arial" w:hAnsi="Arial" w:cs="Arial"/>
          <w:sz w:val="22"/>
          <w:szCs w:val="22"/>
        </w:rPr>
      </w:pPr>
    </w:p>
    <w:p w14:paraId="58082857" w14:textId="79069A5F" w:rsidR="0025313E" w:rsidRPr="0072199E" w:rsidRDefault="0025313E">
      <w:pPr>
        <w:rPr>
          <w:rFonts w:ascii="Arial" w:hAnsi="Arial" w:cs="Arial"/>
          <w:sz w:val="22"/>
          <w:szCs w:val="22"/>
        </w:rPr>
      </w:pPr>
    </w:p>
    <w:p w14:paraId="3C629A97" w14:textId="2DD15E29" w:rsidR="00E50997" w:rsidRPr="0072199E" w:rsidRDefault="00E50997">
      <w:pPr>
        <w:rPr>
          <w:rFonts w:ascii="Arial" w:hAnsi="Arial" w:cs="Arial"/>
          <w:sz w:val="22"/>
          <w:szCs w:val="22"/>
        </w:rPr>
      </w:pPr>
    </w:p>
    <w:p w14:paraId="5416136D" w14:textId="77777777" w:rsidR="00E50997" w:rsidRPr="0072199E" w:rsidRDefault="00E50997">
      <w:pPr>
        <w:rPr>
          <w:rFonts w:ascii="Arial" w:hAnsi="Arial" w:cs="Arial"/>
          <w:sz w:val="22"/>
          <w:szCs w:val="22"/>
        </w:rPr>
      </w:pPr>
    </w:p>
    <w:sectPr w:rsidR="00E50997" w:rsidRPr="0072199E" w:rsidSect="008F06AE">
      <w:headerReference w:type="default" r:id="rId21"/>
      <w:headerReference w:type="first" r:id="rId22"/>
      <w:footerReference w:type="first" r:id="rId23"/>
      <w:type w:val="continuous"/>
      <w:pgSz w:w="12240" w:h="15840" w:code="1"/>
      <w:pgMar w:top="2160" w:right="1440" w:bottom="1440" w:left="1440" w:header="990" w:footer="471" w:gutter="0"/>
      <w:cols w:space="720"/>
      <w:noEndnote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135A71" w14:textId="77777777" w:rsidR="005B7E30" w:rsidRDefault="005B7E30">
      <w:r>
        <w:separator/>
      </w:r>
    </w:p>
  </w:endnote>
  <w:endnote w:type="continuationSeparator" w:id="0">
    <w:p w14:paraId="20572E5F" w14:textId="77777777" w:rsidR="005B7E30" w:rsidRDefault="005B7E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Gotham-Book">
    <w:altName w:val="Calibri"/>
    <w:charset w:val="00"/>
    <w:family w:val="auto"/>
    <w:pitch w:val="variable"/>
    <w:sig w:usb0="8000002F" w:usb1="00000048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ED650F" w14:textId="77777777" w:rsidR="008F06AE" w:rsidRPr="00FD52CB" w:rsidRDefault="0069630A" w:rsidP="008F06AE">
    <w:pPr>
      <w:pStyle w:val="Footer"/>
      <w:ind w:hanging="360"/>
      <w:rPr>
        <w:szCs w:val="14"/>
      </w:rPr>
    </w:pPr>
    <w:r>
      <w:rPr>
        <w:noProof/>
      </w:rPr>
      <mc:AlternateContent>
        <mc:Choice Requires="wps">
          <w:drawing>
            <wp:anchor distT="45720" distB="45720" distL="114300" distR="114300" simplePos="0" relativeHeight="251659776" behindDoc="0" locked="0" layoutInCell="1" allowOverlap="1" wp14:anchorId="54D791CB" wp14:editId="6D00E9E4">
              <wp:simplePos x="0" y="0"/>
              <wp:positionH relativeFrom="column">
                <wp:posOffset>-342900</wp:posOffset>
              </wp:positionH>
              <wp:positionV relativeFrom="paragraph">
                <wp:posOffset>-287655</wp:posOffset>
              </wp:positionV>
              <wp:extent cx="5149850" cy="540385"/>
              <wp:effectExtent l="0" t="0" r="0" b="0"/>
              <wp:wrapSquare wrapText="bothSides"/>
              <wp:docPr id="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49850" cy="54038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F26F79" w14:textId="77777777" w:rsidR="0069630A" w:rsidRPr="002C55A5" w:rsidRDefault="0069630A" w:rsidP="0069630A">
                          <w:pPr>
                            <w:rPr>
                              <w:sz w:val="11"/>
                              <w:szCs w:val="11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54D791C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-27pt;margin-top:-22.65pt;width:405.5pt;height:42.55pt;z-index:25165977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WE3hAIAABYFAAAOAAAAZHJzL2Uyb0RvYy54bWysVNuO2yAQfa/Uf0C8J77UzsbWOqu91FWl&#10;7UXa7QcQwDEqBhdI7G3Vf++Ak6x7eaiq+gEDMxzOzJzh8mrsJDpwY4VWFU6WMUZcUc2E2lX402O9&#10;WGNkHVGMSK14hZ+4xVebly8uh77kqW61ZNwgAFG2HPoKt871ZRRZ2vKO2KXuuQJjo01HHCzNLmKG&#10;DIDeySiN41U0aMN6oym3FnbvJiPeBPym4dR9aBrLHZIVBm4ujCaMWz9Gm0tS7gzpW0GPNMg/sOiI&#10;UHDpGeqOOIL2RvwG1QlqtNWNW1LdRbppBOUhBogmiX+J5qElPQ+xQHJsf06T/X+w9P3ho0GCQe0w&#10;UqSDEj3y0aEbPaLUZ2fobQlODz24uRG2vaeP1Pb3mn62SOnblqgdvzZGDy0nDNgl/mQ0OzrhWA+y&#10;Hd5pBteQvdMBaGxM5wEhGQjQoUpP58p4KhQ28yQr1jmYKNjyLH61zsMVpDyd7o11b7jukJ9U2EDl&#10;Azo53Fvn2ZDy5BLYaylYLaQMC7Pb3kqDDgRUUofviG7nblJ5Z6X9sQlx2gGScIe3ebqh6t+KJM3i&#10;m7RY1Kv1xSKrs3xRXMTrRZwUN8Uqzorsrv7uCSZZ2QrGuLoXip8UmGR/V+FjL0zaCRpEQ4WLPM2n&#10;Es3Z23mQcfj+FGQnHDSkFF2F12cnUvrCvlYMwialI0JO8+hn+iHLkIPTP2QlyMBXftKAG7fjUW8A&#10;5iWy1ewJdGE0lA0qDI8JTFptvmI0QGNW2H7ZE8Mxkm8VaKtIssx3clhk+UUKCzO3bOcWoihAVdhh&#10;NE1v3dT9+96IXQs3ndR8DXqsRZDKM6ujiqH5QkzHh8J393wdvJ6fs80PAAAA//8DAFBLAwQUAAYA&#10;CAAAACEAX8/6+N8AAAAKAQAADwAAAGRycy9kb3ducmV2LnhtbEyPzU7DMBCE70i8g7VI3FoH2tAS&#10;4lQVFRcOSBSk9ujGmzjCf7LdNLw9ywluuzuj2W/qzWQNGzGmwTsBd/MCGLrWq8H1Aj4/XmZrYClL&#10;p6TxDgV8Y4JNc31Vy0r5i3vHcZ97RiEuVVKAzjlUnKdWo5Vp7gM60jofrcy0xp6rKC8Ubg2/L4oH&#10;buXg6IOWAZ81tl/7sxVwsHpQu/h27JQZd6/dtgxTDELc3kzbJ2AZp/xnhl98QoeGmE7+7FRiRsCs&#10;XFKXTMOyXAAjx6pc0eUkYPG4Bt7U/H+F5gcAAP//AwBQSwECLQAUAAYACAAAACEAtoM4kv4AAADh&#10;AQAAEwAAAAAAAAAAAAAAAAAAAAAAW0NvbnRlbnRfVHlwZXNdLnhtbFBLAQItABQABgAIAAAAIQA4&#10;/SH/1gAAAJQBAAALAAAAAAAAAAAAAAAAAC8BAABfcmVscy8ucmVsc1BLAQItABQABgAIAAAAIQAm&#10;2WE3hAIAABYFAAAOAAAAAAAAAAAAAAAAAC4CAABkcnMvZTJvRG9jLnhtbFBLAQItABQABgAIAAAA&#10;IQBfz/r43wAAAAoBAAAPAAAAAAAAAAAAAAAAAN4EAABkcnMvZG93bnJldi54bWxQSwUGAAAAAAQA&#10;BADzAAAA6gUAAAAA&#10;" stroked="f">
              <v:textbox style="mso-fit-shape-to-text:t">
                <w:txbxContent>
                  <w:p w14:paraId="5BF26F79" w14:textId="77777777" w:rsidR="0069630A" w:rsidRPr="002C55A5" w:rsidRDefault="0069630A" w:rsidP="0069630A">
                    <w:pPr>
                      <w:rPr>
                        <w:sz w:val="11"/>
                        <w:szCs w:val="11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C514AE" w14:textId="77777777" w:rsidR="005B7E30" w:rsidRDefault="005B7E30">
      <w:r>
        <w:separator/>
      </w:r>
    </w:p>
  </w:footnote>
  <w:footnote w:type="continuationSeparator" w:id="0">
    <w:p w14:paraId="033264CC" w14:textId="77777777" w:rsidR="005B7E30" w:rsidRDefault="005B7E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2AE7D1" w14:textId="4C727592" w:rsidR="008F06AE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5E153309" wp14:editId="6E53C7AB">
          <wp:extent cx="1783496" cy="416530"/>
          <wp:effectExtent l="0" t="0" r="0" b="3175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60FFB">
      <w:rPr>
        <w:noProof/>
        <w:sz w:val="14"/>
        <w:szCs w:val="1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AD6BF7E" wp14:editId="4909A400">
              <wp:simplePos x="0" y="0"/>
              <wp:positionH relativeFrom="column">
                <wp:posOffset>4074160</wp:posOffset>
              </wp:positionH>
              <wp:positionV relativeFrom="paragraph">
                <wp:posOffset>-8890</wp:posOffset>
              </wp:positionV>
              <wp:extent cx="2187575" cy="490220"/>
              <wp:effectExtent l="0" t="0" r="0" b="0"/>
              <wp:wrapNone/>
              <wp:docPr id="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7575" cy="4902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719C52A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</w:rPr>
                            <w:t>Replace this with recipient's name</w:t>
                          </w:r>
                        </w:p>
                        <w:p w14:paraId="12ADC77C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this with recipient's company name</w:t>
                          </w:r>
                        </w:p>
                        <w:p w14:paraId="2FCA90C0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Replace with today’s date</w:t>
                          </w:r>
                        </w:p>
                        <w:p w14:paraId="091FF224" w14:textId="77777777" w:rsidR="008F06AE" w:rsidRPr="00987AC5" w:rsidRDefault="0069630A" w:rsidP="008F06AE">
                          <w:pPr>
                            <w:pStyle w:val="Header"/>
                            <w:jc w:val="right"/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</w:pPr>
                          <w:r w:rsidRPr="00987AC5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 xml:space="preserve">Page 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begin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instrText xml:space="preserve"> PAGE </w:instrTex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separate"/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noProof/>
                              <w:sz w:val="14"/>
                              <w:szCs w:val="14"/>
                            </w:rPr>
                            <w:t>2</w:t>
                          </w:r>
                          <w:r w:rsidRPr="00987AC5">
                            <w:rPr>
                              <w:rStyle w:val="PageNumber"/>
                              <w:rFonts w:ascii="Arial" w:hAnsi="Arial" w:cs="Arial"/>
                              <w:sz w:val="14"/>
                              <w:szCs w:val="14"/>
                            </w:rPr>
                            <w:fldChar w:fldCharType="end"/>
                          </w:r>
                        </w:p>
                        <w:p w14:paraId="29990122" w14:textId="77777777" w:rsidR="008F06AE" w:rsidRDefault="00650369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D6BF7E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26" type="#_x0000_t202" style="position:absolute;left:0;text-align:left;margin-left:320.8pt;margin-top:-.7pt;width:172.25pt;height:38.6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c7ihAIAABAFAAAOAAAAZHJzL2Uyb0RvYy54bWysVG1v2yAQ/j5p/wHxPfWLSBNbdao2WaZJ&#10;3YvU7gcQg2M0DAxI7G7qf9+BkzTrNmma5g8YuOPh7p7nuLoeOon23DqhVYWzixQjrmrNhNpW+PPD&#10;ejLHyHmqGJVa8Qo/coevF69fXfWm5LlutWTcIgBRruxNhVvvTZkkrm55R92FNlyBsdG2ox6Wdpsw&#10;S3tA72SSp+ll0mvLjNU1dw52V6MRLyJ+0/Daf2waxz2SFYbYfBxtHDdhTBZXtNxaalpRH8Kg/xBF&#10;R4WCS09QK+op2lnxC1QnaqudbvxFrbtEN42oecwBssnSF9nct9TwmAsUx5lTmdz/g60/7D9ZJFiF&#10;CUaKdkDRAx88utUDykgoT29cCV73Bvz8APtAc0zVmTtdf3FI6WVL1ZbfWKv7llMG4WXhZHJ2dMRx&#10;AWTTv9cM7qE7ryPQ0Ngu1A6qgQAdaHo8URNiqWEzz+az6WyKUQ02UqR5HrlLaHk8bazzb7nuUJhU&#10;2AL1EZ3u75wP0dDy6BIuc1oKthZSxoXdbpbSoj0FmazjFxN44SZVcFY6HBsRxx0IEu4IthBupP17&#10;keUkvc2LyfpyPpuQNZlOilk6n6RZcVtcpqQgq/VTCDAjZSsY4+pOKH6UYEb+juJDM4ziiSJEfYWL&#10;aT4dKfpjkmn8fpdkJzx0pBRdhecnJ1oGYt8oBmnT0lMhx3nyc/ixylCD4z9WJcogMD9qwA+bAVCC&#10;NjaaPYIgrAa+gHV4RmDSavsNox5assLu645ajpF8p0BURUZI6OG4INMZSADZc8vm3EJVDVAV9hiN&#10;06Uf+35nrNi2cNMoY6VvQIiNiBp5juogX2i7mMzhiQh9fb6OXs8P2eIHAAAA//8DAFBLAwQUAAYA&#10;CAAAACEA/PA76N4AAAAJAQAADwAAAGRycy9kb3ducmV2LnhtbEyP3U6DQBCF7018h82YeGPaBUMX&#10;igyNmmi87c8DDDAFIrtL2G2hb+96pZeT8+Wcb4rdogdx5cn11iDE6wgEm9o2vWkRTsePVQbCeTIN&#10;DdYwwo0d7Mr7u4Lyxs5mz9eDb0UoMS4nhM77MZfS1R1rcms7sgnZ2U6afDinVjYTzaFcD/I5ipTU&#10;1Juw0NHI7x3X34eLRjh/zU+b7Vx9+lO6T9Qb9Wllb4iPD8vrCwjPi/+D4Vc/qEMZnCp7MY0TA4JK&#10;YhVQhFWcgAjANlMxiAoh3WQgy0L+/6D8AQAA//8DAFBLAQItABQABgAIAAAAIQC2gziS/gAAAOEB&#10;AAATAAAAAAAAAAAAAAAAAAAAAABbQ29udGVudF9UeXBlc10ueG1sUEsBAi0AFAAGAAgAAAAhADj9&#10;If/WAAAAlAEAAAsAAAAAAAAAAAAAAAAALwEAAF9yZWxzLy5yZWxzUEsBAi0AFAAGAAgAAAAhAKYF&#10;zuKEAgAAEAUAAA4AAAAAAAAAAAAAAAAALgIAAGRycy9lMm9Eb2MueG1sUEsBAi0AFAAGAAgAAAAh&#10;APzwO+jeAAAACQEAAA8AAAAAAAAAAAAAAAAA3gQAAGRycy9kb3ducmV2LnhtbFBLBQYAAAAABAAE&#10;APMAAADpBQAAAAA=&#10;" stroked="f">
              <v:textbox>
                <w:txbxContent>
                  <w:p w14:paraId="5719C52A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</w:rPr>
                      <w:t>Replace this with recipient's name</w:t>
                    </w:r>
                  </w:p>
                  <w:p w14:paraId="12ADC77C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this with recipient's company name</w:t>
                    </w:r>
                  </w:p>
                  <w:p w14:paraId="2FCA90C0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>Replace with today’s date</w:t>
                    </w:r>
                  </w:p>
                  <w:p w14:paraId="091FF224" w14:textId="77777777" w:rsidR="008F06AE" w:rsidRPr="00987AC5" w:rsidRDefault="0069630A" w:rsidP="008F06AE">
                    <w:pPr>
                      <w:pStyle w:val="Header"/>
                      <w:jc w:val="right"/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</w:pPr>
                    <w:r w:rsidRPr="00987AC5">
                      <w:rPr>
                        <w:rFonts w:ascii="Arial" w:hAnsi="Arial" w:cs="Arial"/>
                        <w:sz w:val="14"/>
                        <w:szCs w:val="14"/>
                      </w:rPr>
                      <w:t xml:space="preserve">Page 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begin"/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instrText xml:space="preserve"> PAGE </w:instrTex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separate"/>
                    </w:r>
                    <w:r w:rsidRPr="00987AC5">
                      <w:rPr>
                        <w:rStyle w:val="PageNumber"/>
                        <w:rFonts w:ascii="Arial" w:hAnsi="Arial" w:cs="Arial"/>
                        <w:noProof/>
                        <w:sz w:val="14"/>
                        <w:szCs w:val="14"/>
                      </w:rPr>
                      <w:t>2</w:t>
                    </w:r>
                    <w:r w:rsidRPr="00987AC5">
                      <w:rPr>
                        <w:rStyle w:val="PageNumber"/>
                        <w:rFonts w:ascii="Arial" w:hAnsi="Arial" w:cs="Arial"/>
                        <w:sz w:val="14"/>
                        <w:szCs w:val="14"/>
                      </w:rPr>
                      <w:fldChar w:fldCharType="end"/>
                    </w:r>
                  </w:p>
                  <w:p w14:paraId="29990122" w14:textId="77777777" w:rsidR="008F06AE" w:rsidRDefault="00650369"/>
                </w:txbxContent>
              </v:textbox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C22082" w14:textId="1A1BCEA0" w:rsidR="008F06AE" w:rsidRPr="00FD52CB" w:rsidRDefault="00E563B1" w:rsidP="008F06AE">
    <w:pPr>
      <w:pStyle w:val="Header"/>
      <w:ind w:hanging="360"/>
      <w:rPr>
        <w:szCs w:val="14"/>
      </w:rPr>
    </w:pPr>
    <w:r>
      <w:rPr>
        <w:noProof/>
        <w:szCs w:val="14"/>
      </w:rPr>
      <w:drawing>
        <wp:inline distT="0" distB="0" distL="0" distR="0" wp14:anchorId="37D28A92" wp14:editId="5B0D3255">
          <wp:extent cx="1783496" cy="416530"/>
          <wp:effectExtent l="0" t="0" r="0" b="3175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Halff-Log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23140" cy="449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CEE7ED2"/>
    <w:multiLevelType w:val="hybridMultilevel"/>
    <w:tmpl w:val="3CD050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32769">
      <o:colormru v:ext="edit" colors="#3a569b,#10147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0FFB"/>
    <w:rsid w:val="000048A3"/>
    <w:rsid w:val="000A510E"/>
    <w:rsid w:val="000B6E34"/>
    <w:rsid w:val="000F460F"/>
    <w:rsid w:val="00147EAF"/>
    <w:rsid w:val="00151847"/>
    <w:rsid w:val="0016043B"/>
    <w:rsid w:val="001B4EF9"/>
    <w:rsid w:val="001C0190"/>
    <w:rsid w:val="002170DC"/>
    <w:rsid w:val="0025313E"/>
    <w:rsid w:val="00277916"/>
    <w:rsid w:val="002C3C96"/>
    <w:rsid w:val="00301825"/>
    <w:rsid w:val="0033776F"/>
    <w:rsid w:val="003A1862"/>
    <w:rsid w:val="003B7F01"/>
    <w:rsid w:val="003C5C1D"/>
    <w:rsid w:val="003D1027"/>
    <w:rsid w:val="0042632C"/>
    <w:rsid w:val="004525EE"/>
    <w:rsid w:val="00464464"/>
    <w:rsid w:val="00486827"/>
    <w:rsid w:val="0049255F"/>
    <w:rsid w:val="0049527D"/>
    <w:rsid w:val="004A3820"/>
    <w:rsid w:val="004B449D"/>
    <w:rsid w:val="004D6D4E"/>
    <w:rsid w:val="004F360A"/>
    <w:rsid w:val="00526223"/>
    <w:rsid w:val="00541181"/>
    <w:rsid w:val="00587446"/>
    <w:rsid w:val="005B7E30"/>
    <w:rsid w:val="005C38F1"/>
    <w:rsid w:val="005D3859"/>
    <w:rsid w:val="00605434"/>
    <w:rsid w:val="00611039"/>
    <w:rsid w:val="0062272D"/>
    <w:rsid w:val="00646E55"/>
    <w:rsid w:val="00650369"/>
    <w:rsid w:val="0069630A"/>
    <w:rsid w:val="0072199E"/>
    <w:rsid w:val="00733218"/>
    <w:rsid w:val="0073470E"/>
    <w:rsid w:val="0079366F"/>
    <w:rsid w:val="007B109E"/>
    <w:rsid w:val="00802E27"/>
    <w:rsid w:val="00821A63"/>
    <w:rsid w:val="008239AD"/>
    <w:rsid w:val="00824FD9"/>
    <w:rsid w:val="008532AF"/>
    <w:rsid w:val="008B05AF"/>
    <w:rsid w:val="008B36A4"/>
    <w:rsid w:val="008D6715"/>
    <w:rsid w:val="00910DDD"/>
    <w:rsid w:val="00955F4C"/>
    <w:rsid w:val="0096473A"/>
    <w:rsid w:val="00984250"/>
    <w:rsid w:val="00987AC5"/>
    <w:rsid w:val="009B266F"/>
    <w:rsid w:val="00A60727"/>
    <w:rsid w:val="00AB36AE"/>
    <w:rsid w:val="00AC2967"/>
    <w:rsid w:val="00AE62E8"/>
    <w:rsid w:val="00AF2484"/>
    <w:rsid w:val="00AF5DBA"/>
    <w:rsid w:val="00B10287"/>
    <w:rsid w:val="00B24ABA"/>
    <w:rsid w:val="00B359D4"/>
    <w:rsid w:val="00B46B6D"/>
    <w:rsid w:val="00BB7FB2"/>
    <w:rsid w:val="00BC51B9"/>
    <w:rsid w:val="00BF4C08"/>
    <w:rsid w:val="00C37677"/>
    <w:rsid w:val="00C4036D"/>
    <w:rsid w:val="00C44252"/>
    <w:rsid w:val="00C7113E"/>
    <w:rsid w:val="00C9175D"/>
    <w:rsid w:val="00C93161"/>
    <w:rsid w:val="00CA115A"/>
    <w:rsid w:val="00D468DE"/>
    <w:rsid w:val="00D60FFB"/>
    <w:rsid w:val="00D84691"/>
    <w:rsid w:val="00DA15C0"/>
    <w:rsid w:val="00DA47CE"/>
    <w:rsid w:val="00DA6A69"/>
    <w:rsid w:val="00DA781F"/>
    <w:rsid w:val="00DD4FAE"/>
    <w:rsid w:val="00DE702E"/>
    <w:rsid w:val="00E40DCB"/>
    <w:rsid w:val="00E50997"/>
    <w:rsid w:val="00E563B1"/>
    <w:rsid w:val="00E67C1C"/>
    <w:rsid w:val="00EE5E3A"/>
    <w:rsid w:val="00F11486"/>
    <w:rsid w:val="00F77F68"/>
    <w:rsid w:val="00FE6129"/>
    <w:rsid w:val="00FF76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69">
      <o:colormru v:ext="edit" colors="#3a569b,#10147e"/>
    </o:shapedefaults>
    <o:shapelayout v:ext="edit">
      <o:idmap v:ext="edit" data="1"/>
    </o:shapelayout>
  </w:shapeDefaults>
  <w:decimalSymbol w:val="."/>
  <w:listSeparator w:val=","/>
  <w14:docId w14:val="58897FD5"/>
  <w15:chartTrackingRefBased/>
  <w15:docId w15:val="{96D9783E-E104-4AD5-8D0C-C4A47C2B20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">
    <w:name w:val="List"/>
    <w:basedOn w:val="Normal"/>
    <w:pPr>
      <w:widowControl w:val="0"/>
      <w:spacing w:after="240"/>
      <w:ind w:left="720" w:hanging="720"/>
    </w:pPr>
    <w:rPr>
      <w:rFonts w:ascii="Times Roman" w:hAnsi="Times Roman"/>
    </w:rPr>
  </w:style>
  <w:style w:type="paragraph" w:styleId="Footer">
    <w:name w:val="footer"/>
    <w:basedOn w:val="Normal"/>
    <w:pPr>
      <w:widowControl w:val="0"/>
      <w:tabs>
        <w:tab w:val="center" w:pos="4320"/>
        <w:tab w:val="right" w:pos="9360"/>
      </w:tabs>
    </w:pPr>
    <w:rPr>
      <w:rFonts w:ascii="Times Roman" w:hAnsi="Times Roman"/>
    </w:rPr>
  </w:style>
  <w:style w:type="paragraph" w:styleId="EnvelopeAddress">
    <w:name w:val="envelope address"/>
    <w:basedOn w:val="EnvelopeReturn"/>
    <w:pPr>
      <w:keepLines/>
      <w:framePr w:w="7920" w:h="1980" w:hRule="exact" w:hSpace="180" w:wrap="auto" w:hAnchor="page" w:xAlign="center" w:yAlign="bottom"/>
      <w:ind w:left="6480"/>
      <w:jc w:val="left"/>
    </w:pPr>
    <w:rPr>
      <w:rFonts w:ascii="Arial Rounded MT Bold" w:hAnsi="Arial Rounded MT Bold"/>
      <w:b/>
      <w:sz w:val="28"/>
    </w:rPr>
  </w:style>
  <w:style w:type="paragraph" w:styleId="EnvelopeReturn">
    <w:name w:val="envelope return"/>
    <w:basedOn w:val="Normal"/>
    <w:rPr>
      <w:sz w:val="20"/>
    </w:rPr>
  </w:style>
  <w:style w:type="paragraph" w:customStyle="1" w:styleId="JITEM3">
    <w:name w:val="JITEM3"/>
    <w:basedOn w:val="JITEM2"/>
    <w:pPr>
      <w:tabs>
        <w:tab w:val="left" w:pos="2160"/>
      </w:tabs>
    </w:pPr>
  </w:style>
  <w:style w:type="paragraph" w:customStyle="1" w:styleId="JITEM2">
    <w:name w:val="JITEM2"/>
    <w:basedOn w:val="Normal"/>
    <w:pPr>
      <w:tabs>
        <w:tab w:val="left" w:pos="-720"/>
        <w:tab w:val="left" w:pos="0"/>
        <w:tab w:val="left" w:pos="720"/>
        <w:tab w:val="left" w:pos="1440"/>
      </w:tabs>
      <w:suppressAutoHyphens/>
      <w:spacing w:after="120"/>
      <w:ind w:left="2880" w:hanging="720"/>
    </w:pPr>
    <w:rPr>
      <w:rFonts w:ascii="Century Schoolbook" w:hAnsi="Century Schoolbook"/>
      <w:spacing w:val="-2"/>
      <w:sz w:val="20"/>
    </w:rPr>
  </w:style>
  <w:style w:type="paragraph" w:customStyle="1" w:styleId="JHEAD1">
    <w:name w:val="JHEAD1"/>
    <w:basedOn w:val="Normal"/>
    <w:pPr>
      <w:spacing w:after="120"/>
      <w:ind w:left="720" w:hanging="720"/>
    </w:pPr>
    <w:rPr>
      <w:rFonts w:ascii="Century Schoolbook" w:hAnsi="Century Schoolbook"/>
      <w:b/>
      <w:sz w:val="20"/>
      <w:u w:val="single"/>
    </w:rPr>
  </w:style>
  <w:style w:type="paragraph" w:customStyle="1" w:styleId="JHEAD2">
    <w:name w:val="JHEAD2"/>
    <w:basedOn w:val="Normal"/>
    <w:pPr>
      <w:spacing w:after="240"/>
      <w:ind w:left="1440" w:hanging="720"/>
    </w:pPr>
    <w:rPr>
      <w:rFonts w:ascii="Century Schoolbook" w:hAnsi="Century Schoolbook"/>
      <w:sz w:val="20"/>
    </w:rPr>
  </w:style>
  <w:style w:type="paragraph" w:styleId="ListBullet">
    <w:name w:val="List Bullet"/>
    <w:basedOn w:val="Normal"/>
    <w:pPr>
      <w:ind w:left="720" w:hanging="720"/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styleId="BodyText">
    <w:name w:val="Body Text"/>
    <w:basedOn w:val="Normal"/>
    <w:link w:val="BodyTextChar"/>
    <w:uiPriority w:val="1"/>
    <w:qFormat/>
    <w:rsid w:val="00C44252"/>
    <w:pPr>
      <w:widowControl w:val="0"/>
      <w:overflowPunct/>
      <w:autoSpaceDE/>
      <w:autoSpaceDN/>
      <w:adjustRightInd/>
      <w:ind w:left="119"/>
      <w:jc w:val="left"/>
      <w:textAlignment w:val="auto"/>
    </w:pPr>
    <w:rPr>
      <w:rFonts w:ascii="Gotham-Book" w:eastAsia="Gotham-Book" w:hAnsi="Gotham-Book" w:cstheme="minorBidi"/>
      <w:sz w:val="11"/>
      <w:szCs w:val="11"/>
    </w:rPr>
  </w:style>
  <w:style w:type="character" w:customStyle="1" w:styleId="BodyTextChar">
    <w:name w:val="Body Text Char"/>
    <w:basedOn w:val="DefaultParagraphFont"/>
    <w:link w:val="BodyText"/>
    <w:uiPriority w:val="1"/>
    <w:rsid w:val="00C44252"/>
    <w:rPr>
      <w:rFonts w:ascii="Gotham-Book" w:eastAsia="Gotham-Book" w:hAnsi="Gotham-Book" w:cstheme="minorBidi"/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69630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9630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563B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563B1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526223"/>
    <w:pPr>
      <w:ind w:left="720"/>
      <w:contextualSpacing/>
    </w:pPr>
  </w:style>
  <w:style w:type="table" w:styleId="TableGrid">
    <w:name w:val="Table Grid"/>
    <w:basedOn w:val="TableNormal"/>
    <w:uiPriority w:val="39"/>
    <w:rsid w:val="000B6E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29ED3C2-8E62-49D4-BFAC-741D046188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1844</TotalTime>
  <Pages>6</Pages>
  <Words>538</Words>
  <Characters>3063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June 21, 1996</vt:lpstr>
    </vt:vector>
  </TitlesOfParts>
  <Company>HALFF ASSOCIATES, INC.</Company>
  <LinksUpToDate>false</LinksUpToDate>
  <CharactersWithSpaces>3594</CharactersWithSpaces>
  <SharedDoc>false</SharedDoc>
  <HLinks>
    <vt:vector size="18" baseType="variant">
      <vt:variant>
        <vt:i4>2031704</vt:i4>
      </vt:variant>
      <vt:variant>
        <vt:i4>1778</vt:i4>
      </vt:variant>
      <vt:variant>
        <vt:i4>1026</vt:i4>
      </vt:variant>
      <vt:variant>
        <vt:i4>1</vt:i4>
      </vt:variant>
      <vt:variant>
        <vt:lpwstr>Halff_color</vt:lpwstr>
      </vt:variant>
      <vt:variant>
        <vt:lpwstr/>
      </vt:variant>
      <vt:variant>
        <vt:i4>5636155</vt:i4>
      </vt:variant>
      <vt:variant>
        <vt:i4>1781</vt:i4>
      </vt:variant>
      <vt:variant>
        <vt:i4>1025</vt:i4>
      </vt:variant>
      <vt:variant>
        <vt:i4>1</vt:i4>
      </vt:variant>
      <vt:variant>
        <vt:lpwstr>Halff_4C</vt:lpwstr>
      </vt:variant>
      <vt:variant>
        <vt:lpwstr/>
      </vt:variant>
      <vt:variant>
        <vt:i4>6815755</vt:i4>
      </vt:variant>
      <vt:variant>
        <vt:i4>1784</vt:i4>
      </vt:variant>
      <vt:variant>
        <vt:i4>1028</vt:i4>
      </vt:variant>
      <vt:variant>
        <vt:i4>1</vt:i4>
      </vt:variant>
      <vt:variant>
        <vt:lpwstr>richardsonaddress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June 21, 1996</dc:title>
  <dc:subject/>
  <dc:creator>Hausenfluke, Jodi</dc:creator>
  <cp:keywords/>
  <dc:description/>
  <cp:lastModifiedBy>Burros, Patricia</cp:lastModifiedBy>
  <cp:revision>28</cp:revision>
  <cp:lastPrinted>2005-01-07T16:13:00Z</cp:lastPrinted>
  <dcterms:created xsi:type="dcterms:W3CDTF">2021-06-30T13:53:00Z</dcterms:created>
  <dcterms:modified xsi:type="dcterms:W3CDTF">2021-09-13T13:13:00Z</dcterms:modified>
</cp:coreProperties>
</file>